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311D50">
        <w:trPr>
          <w:jc w:val="center"/>
        </w:trPr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311D50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1D50" w:rsidRDefault="00056D7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MATERIA:  SISTEMI ED AUTOMAZIONE </w:t>
            </w:r>
            <w:r w:rsidR="00577632">
              <w:rPr>
                <w:rFonts w:ascii="Arial" w:hAnsi="Arial" w:cs="Arial"/>
                <w:b/>
                <w:sz w:val="20"/>
                <w:szCs w:val="20"/>
              </w:rPr>
              <w:t>INDUSTRIALE       CLASSI  5</w:t>
            </w:r>
            <w:r w:rsidR="00B75EE0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577632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1D50" w:rsidRDefault="00056D7C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MECCATRONICA</w:t>
            </w: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11D50" w:rsidRDefault="00311D50">
      <w:pPr>
        <w:pStyle w:val="Standard"/>
        <w:jc w:val="both"/>
      </w:pPr>
    </w:p>
    <w:p w:rsidR="00311D50" w:rsidRDefault="00311D50">
      <w:pPr>
        <w:pStyle w:val="Titolo5"/>
        <w:rPr>
          <w:rFonts w:ascii="Arial" w:hAnsi="Arial" w:cs="Arial"/>
          <w:sz w:val="20"/>
        </w:rPr>
      </w:pPr>
    </w:p>
    <w:p w:rsidR="00311D50" w:rsidRDefault="00311D50">
      <w:pPr>
        <w:pStyle w:val="Titolo5"/>
        <w:rPr>
          <w:rFonts w:ascii="Arial" w:hAnsi="Arial" w:cs="Arial"/>
          <w:sz w:val="20"/>
        </w:rPr>
      </w:pPr>
    </w:p>
    <w:p w:rsidR="00311D50" w:rsidRDefault="00056D7C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311D50" w:rsidRDefault="00311D50">
      <w:pPr>
        <w:pStyle w:val="Standard"/>
        <w:rPr>
          <w:rFonts w:ascii="Arial" w:hAnsi="Arial" w:cs="Arial"/>
          <w:sz w:val="20"/>
          <w:szCs w:val="20"/>
        </w:rPr>
      </w:pPr>
    </w:p>
    <w:p w:rsidR="00311D50" w:rsidRDefault="00056D7C">
      <w:pPr>
        <w:pStyle w:val="Standard"/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311D50" w:rsidRDefault="00311D50">
      <w:pPr>
        <w:pStyle w:val="Standard"/>
        <w:rPr>
          <w:rFonts w:ascii="Arial" w:hAnsi="Arial" w:cs="Arial"/>
          <w:sz w:val="20"/>
          <w:szCs w:val="20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311D50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interpretare semplice documentazione tecnica del settore.</w:t>
            </w:r>
          </w:p>
          <w:p w:rsidR="00311D50" w:rsidRDefault="00056D7C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Essere in grado di programmare ed eseguire cicli automatici con il PLC.</w:t>
            </w:r>
          </w:p>
          <w:p w:rsidR="00311D50" w:rsidRDefault="00056D7C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Essere in grado di implementare sistemi di acquisizione dati mediante software specifico.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utilizzare consapevolmente metodi di calcolo e strumenti informatici, in particolare software applicativi specifici.</w:t>
            </w:r>
          </w:p>
        </w:tc>
      </w:tr>
    </w:tbl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311D50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311D50" w:rsidRDefault="00056D7C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interagire con sistemi di produzione o di controllo automatici, dalla macchina singola ai sistemi flessibili a tecnologia mista (pneumatica, oleodinamica, elettrica ed elettronica).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311D50" w:rsidRDefault="00311D50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11D50" w:rsidRDefault="00311D50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311D50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le conoscenze fondamentali riguardanti la teoria dei sistemi di controllo ed in particolar modo il PLC.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conoscenze nel campo dei trasduttori e dei sensori.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consapevolezza delle problematiche della teoria dei sistemi e delle regolazioni automatiche.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Acquisire adeguate conoscenze di concetti, leggi ed applicazioni nel campo dell'elettronica.</w:t>
            </w:r>
          </w:p>
        </w:tc>
      </w:tr>
    </w:tbl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311D50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11D50" w:rsidRDefault="00056D7C">
      <w:pPr>
        <w:pStyle w:val="Corpodeltesto3"/>
      </w:pPr>
      <w:r>
        <w:rPr>
          <w:rFonts w:ascii="Arial" w:hAnsi="Arial" w:cs="Arial"/>
          <w:sz w:val="20"/>
        </w:rPr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311D50" w:rsidRDefault="00056D7C">
      <w:pPr>
        <w:pStyle w:val="Corpodeltesto3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– DURATA</w:t>
      </w:r>
    </w:p>
    <w:p w:rsidR="00311D50" w:rsidRDefault="00311D50">
      <w:pPr>
        <w:pStyle w:val="Corpodeltesto3"/>
      </w:pPr>
    </w:p>
    <w:p w:rsidR="00311D50" w:rsidRDefault="00056D7C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shd w:val="clear" w:color="auto" w:fill="CCCCCC"/>
        <w:tabs>
          <w:tab w:val="left" w:pos="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1 - PLC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 : Struttura hardware del PLC, segnali di ingresso e di uscita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 : linguaggio KOP e tecnica Grafcet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 : Programmazione del PLC Siemens S7 e/o SAIA PCD 1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 Esecuzione pratica dei programmi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469" w:type="dxa"/>
        <w:tblInd w:w="-1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187"/>
        <w:gridCol w:w="1478"/>
      </w:tblGrid>
      <w:tr w:rsidR="00311D50">
        <w:trPr>
          <w:trHeight w:val="501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311D50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11D50"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311D5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1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056D7C">
            <w:pPr>
              <w:pStyle w:val="Standard"/>
              <w:snapToGrid w:val="0"/>
              <w:ind w:left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1D50" w:rsidRDefault="00056D7C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311D50" w:rsidRDefault="00056D7C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311D50" w:rsidRDefault="00056D7C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(30 ore)</w:t>
            </w:r>
          </w:p>
        </w:tc>
      </w:tr>
    </w:tbl>
    <w:p w:rsidR="00311D50" w:rsidRDefault="00311D50">
      <w:pPr>
        <w:pStyle w:val="Standard"/>
        <w:jc w:val="both"/>
      </w:pPr>
    </w:p>
    <w:p w:rsidR="00311D50" w:rsidRDefault="00056D7C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2 – AMPLIFICATORI OPERAZIONALI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Trattamento dei segnali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Caratteristiche degli amplificatori operazionali, retroazione positiva e negativa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Applicazioni tipiche nei circuiti retroazionati per OP AMP invertenti e non invertenti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Circuiti tipici con operazionali: amplificatore, sommatore, comparatore, derivativo e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integrativo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716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25"/>
      </w:tblGrid>
      <w:tr w:rsidR="00311D50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11D50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311D5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numPr>
                <w:ilvl w:val="0"/>
                <w:numId w:val="8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311D50" w:rsidRDefault="00056D7C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311D50" w:rsidRDefault="00311D50">
      <w:pPr>
        <w:pStyle w:val="Standard"/>
        <w:jc w:val="both"/>
      </w:pPr>
    </w:p>
    <w:p w:rsidR="00311D50" w:rsidRDefault="00056D7C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3 – ANALISI IN FREQUENZA</w:t>
      </w:r>
    </w:p>
    <w:p w:rsidR="00311D50" w:rsidRDefault="00311D50">
      <w:pPr>
        <w:pStyle w:val="Standard"/>
        <w:snapToGrid w:val="0"/>
        <w:rPr>
          <w:rFonts w:ascii="Arial" w:hAnsi="Arial" w:cs="Arial"/>
          <w:sz w:val="20"/>
        </w:rPr>
      </w:pPr>
    </w:p>
    <w:p w:rsidR="00311D50" w:rsidRDefault="00056D7C">
      <w:pPr>
        <w:pStyle w:val="Standard"/>
        <w:snapToGri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Diagrammi di Bode (modulo e fase), poli e zeri semplici o doppi, poli complessi coniugati</w:t>
      </w:r>
    </w:p>
    <w:p w:rsidR="00311D50" w:rsidRDefault="00056D7C">
      <w:pPr>
        <w:pStyle w:val="Standard"/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Applicazione ai circuiti elettrici/elettronici</w:t>
      </w:r>
    </w:p>
    <w:p w:rsidR="00311D50" w:rsidRDefault="00311D50">
      <w:pPr>
        <w:pStyle w:val="Standard"/>
        <w:jc w:val="both"/>
      </w:pPr>
    </w:p>
    <w:tbl>
      <w:tblPr>
        <w:tblW w:w="9716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25"/>
      </w:tblGrid>
      <w:tr w:rsidR="00311D50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11D50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311D5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 Marzo</w:t>
            </w:r>
          </w:p>
          <w:p w:rsidR="00311D50" w:rsidRDefault="00056D7C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(12 ore)</w:t>
            </w:r>
          </w:p>
        </w:tc>
      </w:tr>
    </w:tbl>
    <w:p w:rsidR="00311D50" w:rsidRDefault="00311D50">
      <w:pPr>
        <w:pStyle w:val="Standard"/>
        <w:jc w:val="both"/>
      </w:pPr>
    </w:p>
    <w:p w:rsidR="00311D50" w:rsidRDefault="00056D7C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Modulo 4 – TRASDUTTORI E SISTEMI DI ACQUISIZIONE DATI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Caratteristiche dei trasduttori e dei sensori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Principali tipologie di trasduttori e sensori: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trasduttore potenziometrico, encoder, dinamo e alternatore tachimetrici, sensori ad effetto Hall, </w:t>
      </w:r>
      <w:r>
        <w:rPr>
          <w:rFonts w:ascii="Arial" w:hAnsi="Arial" w:cs="Arial"/>
          <w:sz w:val="20"/>
        </w:rPr>
        <w:tab/>
        <w:t>estensimetri, termistori, termoresistenze, termocoppie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Sistemi di acquisizione dati: problematiche ed applicazioni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725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34"/>
      </w:tblGrid>
      <w:tr w:rsidR="00311D50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11D50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311D5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Textbody"/>
              <w:snapToGrid w:val="0"/>
              <w:rPr>
                <w:sz w:val="20"/>
              </w:rPr>
            </w:pPr>
            <w:r>
              <w:rPr>
                <w:sz w:val="20"/>
              </w:rPr>
              <w:t>Marzo</w:t>
            </w:r>
          </w:p>
          <w:p w:rsidR="00311D50" w:rsidRDefault="00056D7C">
            <w:pPr>
              <w:pStyle w:val="Textbody"/>
              <w:snapToGrid w:val="0"/>
            </w:pPr>
            <w:r>
              <w:rPr>
                <w:sz w:val="20"/>
              </w:rPr>
              <w:t>(10 ore)</w:t>
            </w:r>
          </w:p>
        </w:tc>
      </w:tr>
    </w:tbl>
    <w:p w:rsidR="00311D50" w:rsidRDefault="00311D50">
      <w:pPr>
        <w:pStyle w:val="Standard"/>
        <w:jc w:val="both"/>
      </w:pPr>
    </w:p>
    <w:p w:rsidR="00311D50" w:rsidRDefault="00056D7C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shd w:val="clear" w:color="auto" w:fill="CCCCCC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5 – ATTUATORI ED AZIONAMENTI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 didattica n°1 : Motore elettrico a corrente continua a magneti permanenti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 didattica n°2 : Motore elettrico asincrono trifase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 didattica n°3 : Convertitore di frequenza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 didattica n°4 : Motore passo-passo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716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91"/>
        <w:gridCol w:w="1725"/>
      </w:tblGrid>
      <w:tr w:rsidR="00311D50">
        <w:trPr>
          <w:trHeight w:val="501"/>
        </w:trPr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11D50">
        <w:tc>
          <w:tcPr>
            <w:tcW w:w="79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numPr>
                <w:ilvl w:val="0"/>
                <w:numId w:val="4"/>
              </w:numPr>
              <w:tabs>
                <w:tab w:val="left" w:pos="2264"/>
              </w:tabs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Aprile</w:t>
            </w:r>
          </w:p>
          <w:p w:rsidR="00311D50" w:rsidRDefault="00056D7C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(10 ore)</w:t>
            </w:r>
          </w:p>
        </w:tc>
      </w:tr>
    </w:tbl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6 - REGOLAZIONI AUTOMATICHE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Algebra dei sistemi a blocchi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Sistemi predittivi e retroazionati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Regolazione On/Off</w:t>
      </w:r>
    </w:p>
    <w:p w:rsidR="00311D50" w:rsidRDefault="00056D7C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Regolazione proporzionale, derivativa e integrale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716" w:type="dxa"/>
        <w:tblInd w:w="-3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25"/>
      </w:tblGrid>
      <w:tr w:rsidR="00311D50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11D50" w:rsidRDefault="00056D7C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11D50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311D50">
            <w:pPr>
              <w:pStyle w:val="Standard"/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311D50" w:rsidRDefault="00311D50">
            <w:pPr>
              <w:pStyle w:val="Standard"/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311D50" w:rsidRDefault="00056D7C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311D50" w:rsidRDefault="00311D50">
      <w:pPr>
        <w:pStyle w:val="Standard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311D50">
      <w:pPr>
        <w:pStyle w:val="Corpodeltesto31"/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2. METODOLOGIE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503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3"/>
      </w:tblGrid>
      <w:tr w:rsidR="00311D50"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311D50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11D50" w:rsidRDefault="00056D7C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311D50" w:rsidRDefault="00056D7C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311D50" w:rsidRDefault="00056D7C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311D50" w:rsidRDefault="00056D7C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11D50" w:rsidRDefault="00311D50">
      <w:pPr>
        <w:pStyle w:val="Standard"/>
        <w:jc w:val="both"/>
      </w:pPr>
    </w:p>
    <w:p w:rsidR="00311D50" w:rsidRDefault="00311D50">
      <w:pPr>
        <w:pStyle w:val="Standard"/>
      </w:pPr>
    </w:p>
    <w:p w:rsidR="00311D50" w:rsidRDefault="00056D7C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 MATERIALI DIDATTICI</w:t>
      </w:r>
    </w:p>
    <w:p w:rsidR="00311D50" w:rsidRDefault="00311D50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503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3"/>
      </w:tblGrid>
      <w:tr w:rsidR="00311D50"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311D50">
            <w:pPr>
              <w:pStyle w:val="Standard"/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11D50" w:rsidRDefault="00056D7C">
            <w:pPr>
              <w:pStyle w:val="Standard"/>
              <w:numPr>
                <w:ilvl w:val="0"/>
                <w:numId w:val="10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311D50" w:rsidRDefault="00056D7C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311D50" w:rsidRDefault="00056D7C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311D50" w:rsidRDefault="00311D50">
            <w:pPr>
              <w:pStyle w:val="Standard"/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11D50" w:rsidRDefault="00311D50">
      <w:pPr>
        <w:pStyle w:val="Standard"/>
        <w:jc w:val="both"/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2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2"/>
        </w:rPr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4. TIPOLOGIA E NUMERO DELLE PROVE DI VERIFICA</w:t>
      </w: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31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311D50"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311D50">
            <w:pPr>
              <w:pStyle w:val="Standard"/>
              <w:snapToGrid w:val="0"/>
              <w:jc w:val="both"/>
            </w:pPr>
          </w:p>
          <w:p w:rsidR="00311D50" w:rsidRDefault="00056D7C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prove scritte, comprensive di domande teoriche ed esercizi applicativi,</w:t>
            </w:r>
          </w:p>
          <w:p w:rsidR="00311D50" w:rsidRDefault="00056D7C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311D50" w:rsidRDefault="00056D7C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311D50" w:rsidRDefault="00311D50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11D50" w:rsidRDefault="00311D50">
      <w:pPr>
        <w:pStyle w:val="Standard"/>
        <w:jc w:val="both"/>
      </w:pPr>
    </w:p>
    <w:tbl>
      <w:tblPr>
        <w:tblW w:w="7310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20"/>
      </w:tblGrid>
      <w:tr w:rsidR="00311D50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PRIMO PERIODO</w:t>
            </w:r>
          </w:p>
          <w:p w:rsidR="00311D50" w:rsidRDefault="00056D7C">
            <w:pPr>
              <w:pStyle w:val="Standard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311D50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Standard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1D50" w:rsidRDefault="00056D7C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311D50" w:rsidRDefault="00311D50">
      <w:pPr>
        <w:pStyle w:val="Standard"/>
        <w:jc w:val="both"/>
      </w:pPr>
    </w:p>
    <w:p w:rsidR="00311D50" w:rsidRDefault="00311D50">
      <w:pPr>
        <w:pStyle w:val="Standard"/>
        <w:jc w:val="both"/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2"/>
        </w:rPr>
      </w:pPr>
    </w:p>
    <w:p w:rsidR="00311D50" w:rsidRDefault="00056D7C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31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311D50"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1D50" w:rsidRDefault="00311D50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11D50" w:rsidRDefault="00056D7C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  <w:p w:rsidR="00311D50" w:rsidRDefault="00056D7C">
            <w:pPr>
              <w:pStyle w:val="Standard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311D50" w:rsidRDefault="00311D50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sectPr w:rsidR="00311D50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51" w:rsidRDefault="00073551">
      <w:r>
        <w:separator/>
      </w:r>
    </w:p>
  </w:endnote>
  <w:endnote w:type="continuationSeparator" w:id="0">
    <w:p w:rsidR="00073551" w:rsidRDefault="0007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, 'Arial Unicode MS'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0"/>
    <w:family w:val="auto"/>
    <w:pitch w:val="variable"/>
  </w:font>
  <w:font w:name="Lohit Devanagari">
    <w:charset w:val="00"/>
    <w:family w:val="auto"/>
    <w:pitch w:val="variable"/>
  </w:font>
  <w:font w:name="FreeSans">
    <w:charset w:val="01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FAA" w:rsidRDefault="00056D7C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-51120</wp:posOffset>
              </wp:positionH>
              <wp:positionV relativeFrom="paragraph">
                <wp:posOffset>56520</wp:posOffset>
              </wp:positionV>
              <wp:extent cx="6173640" cy="4320"/>
              <wp:effectExtent l="19050" t="19050" r="36660" b="3378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3640" cy="432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4646A6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4.05pt;margin-top:4.45pt;width:486.1pt;height:.3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" strokeweight=".26mm">
              <v:stroke joinstyle="miter" endcap="square"/>
            </v:shape>
          </w:pict>
        </mc:Fallback>
      </mc:AlternateContent>
    </w:r>
  </w:p>
  <w:tbl>
    <w:tblPr>
      <w:tblW w:w="9778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FA4FAA">
      <w:trPr>
        <w:trHeight w:val="379"/>
      </w:trPr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A4FAA" w:rsidRDefault="00056D7C">
          <w:pPr>
            <w:pStyle w:val="Pidipagina"/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B75EE0">
            <w:rPr>
              <w:rFonts w:cs="Arial"/>
              <w:bCs/>
              <w:noProof/>
              <w:sz w:val="18"/>
              <w:szCs w:val="18"/>
            </w:rPr>
            <w:t>1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B75EE0">
            <w:rPr>
              <w:rFonts w:cs="Arial"/>
              <w:bCs/>
              <w:noProof/>
              <w:sz w:val="18"/>
              <w:szCs w:val="18"/>
            </w:rPr>
            <w:t>5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A4FAA" w:rsidRDefault="00056D7C">
          <w:pPr>
            <w:pStyle w:val="Pidipagina"/>
            <w:numPr>
              <w:ilvl w:val="0"/>
              <w:numId w:val="7"/>
            </w:numPr>
            <w:tabs>
              <w:tab w:val="clear" w:pos="4819"/>
              <w:tab w:val="clear" w:pos="9638"/>
              <w:tab w:val="center" w:pos="390"/>
              <w:tab w:val="right" w:pos="9813"/>
            </w:tabs>
            <w:ind w:left="175" w:hanging="88"/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A4FAA" w:rsidRDefault="00056D7C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FA4FAA" w:rsidRDefault="00073551">
    <w:pPr>
      <w:pStyle w:val="Pidipagina"/>
      <w:rPr>
        <w:rFonts w:ascii="Arial" w:hAnsi="Arial" w:cs="Arial"/>
        <w:sz w:val="18"/>
        <w:szCs w:val="18"/>
      </w:rPr>
    </w:pPr>
  </w:p>
  <w:p w:rsidR="00FA4FAA" w:rsidRDefault="00056D7C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FA4FAA" w:rsidRDefault="00073551">
    <w:pPr>
      <w:pStyle w:val="Pidipagina"/>
    </w:pPr>
  </w:p>
  <w:p w:rsidR="00FA4FAA" w:rsidRDefault="000735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51" w:rsidRDefault="00073551">
      <w:r>
        <w:rPr>
          <w:color w:val="000000"/>
        </w:rPr>
        <w:separator/>
      </w:r>
    </w:p>
  </w:footnote>
  <w:footnote w:type="continuationSeparator" w:id="0">
    <w:p w:rsidR="00073551" w:rsidRDefault="0007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FAA" w:rsidRDefault="00056D7C">
    <w:pPr>
      <w:pStyle w:val="Titolo3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6120000" cy="935280"/>
          <wp:effectExtent l="0" t="0" r="0" b="0"/>
          <wp:wrapSquare wrapText="bothSides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9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A4FAA" w:rsidRDefault="00073551">
    <w:pPr>
      <w:pStyle w:val="Titolo3"/>
    </w:pPr>
  </w:p>
  <w:p w:rsidR="00FA4FAA" w:rsidRDefault="00073551">
    <w:pPr>
      <w:pStyle w:val="Titolo3"/>
    </w:pPr>
  </w:p>
  <w:p w:rsidR="00FA4FAA" w:rsidRDefault="00073551">
    <w:pPr>
      <w:pStyle w:val="Standard"/>
      <w:outlineLvl w:val="2"/>
    </w:pPr>
  </w:p>
  <w:p w:rsidR="00FA4FAA" w:rsidRDefault="00056D7C">
    <w:pPr>
      <w:pStyle w:val="Titolo3"/>
    </w:pPr>
    <w:r>
      <w:t xml:space="preserve">   </w:t>
    </w:r>
  </w:p>
  <w:p w:rsidR="00FA4FAA" w:rsidRDefault="00073551">
    <w:pPr>
      <w:pStyle w:val="Standard"/>
      <w:outlineLvl w:val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A5B6D"/>
    <w:multiLevelType w:val="multilevel"/>
    <w:tmpl w:val="5FF480F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1FB33DF1"/>
    <w:multiLevelType w:val="multilevel"/>
    <w:tmpl w:val="1D5C9C4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42C1BD3"/>
    <w:multiLevelType w:val="multilevel"/>
    <w:tmpl w:val="4A30652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" w15:restartNumberingAfterBreak="0">
    <w:nsid w:val="56E020ED"/>
    <w:multiLevelType w:val="multilevel"/>
    <w:tmpl w:val="D74C200A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8DD64AC"/>
    <w:multiLevelType w:val="multilevel"/>
    <w:tmpl w:val="C9B603E4"/>
    <w:styleLink w:val="WW8Num2"/>
    <w:lvl w:ilvl="0">
      <w:numFmt w:val="bullet"/>
      <w:lvlText w:val="-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C393E66"/>
    <w:multiLevelType w:val="multilevel"/>
    <w:tmpl w:val="1DDE0D0E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50"/>
    <w:rsid w:val="00056D7C"/>
    <w:rsid w:val="00073551"/>
    <w:rsid w:val="00311D50"/>
    <w:rsid w:val="00577632"/>
    <w:rsid w:val="00B7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82BAE-17F5-46E4-BD51-182F6432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pPr>
      <w:keepNext/>
      <w:outlineLvl w:val="0"/>
    </w:pPr>
    <w:rPr>
      <w:b/>
      <w:bCs/>
      <w:u w:val="single"/>
    </w:rPr>
  </w:style>
  <w:style w:type="paragraph" w:styleId="Titolo2">
    <w:name w:val="heading 2"/>
    <w:basedOn w:val="Standard"/>
    <w:next w:val="Standard"/>
    <w:pPr>
      <w:keepNext/>
      <w:overflowPunct w:val="0"/>
      <w:autoSpaceDE w:val="0"/>
      <w:jc w:val="center"/>
      <w:outlineLvl w:val="1"/>
    </w:pPr>
    <w:rPr>
      <w:i/>
      <w:szCs w:val="20"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Standard"/>
    <w:next w:val="Standard"/>
    <w:pPr>
      <w:keepNext/>
      <w:overflowPunct w:val="0"/>
      <w:autoSpaceDE w:val="0"/>
      <w:jc w:val="center"/>
      <w:outlineLvl w:val="3"/>
    </w:pPr>
    <w:rPr>
      <w:rFonts w:ascii="Arial" w:eastAsia="Arial" w:hAnsi="Arial" w:cs="Arial"/>
      <w:sz w:val="28"/>
      <w:szCs w:val="20"/>
    </w:rPr>
  </w:style>
  <w:style w:type="paragraph" w:styleId="Titolo5">
    <w:name w:val="heading 5"/>
    <w:basedOn w:val="Standard"/>
    <w:next w:val="Standard"/>
    <w:pPr>
      <w:keepNext/>
      <w:overflowPunct w:val="0"/>
      <w:autoSpaceDE w:val="0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Standard"/>
    <w:next w:val="Standard"/>
    <w:pPr>
      <w:keepNext/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overflowPunct w:val="0"/>
      <w:autoSpaceDE w:val="0"/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overflowPunct w:val="0"/>
      <w:autoSpaceDE w:val="0"/>
      <w:jc w:val="both"/>
      <w:outlineLvl w:val="6"/>
    </w:pPr>
    <w:rPr>
      <w:b/>
      <w:bCs/>
      <w:sz w:val="22"/>
      <w:szCs w:val="20"/>
    </w:rPr>
  </w:style>
  <w:style w:type="paragraph" w:styleId="Titolo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sz w:val="18"/>
    </w:rPr>
  </w:style>
  <w:style w:type="paragraph" w:styleId="Titolo9">
    <w:name w:val="heading 9"/>
    <w:basedOn w:val="Standard"/>
    <w:next w:val="Standard"/>
    <w:pPr>
      <w:keepNext/>
      <w:outlineLvl w:val="8"/>
    </w:pPr>
    <w:rPr>
      <w:rFonts w:ascii="Arial" w:eastAsia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</w:rPr>
  </w:style>
  <w:style w:type="paragraph" w:customStyle="1" w:styleId="Textbody">
    <w:name w:val="Text body"/>
    <w:basedOn w:val="Standard"/>
    <w:pPr>
      <w:overflowPunct w:val="0"/>
      <w:autoSpaceDE w:val="0"/>
      <w:jc w:val="both"/>
    </w:pPr>
    <w:rPr>
      <w:rFonts w:ascii="Arial" w:eastAsia="Arial" w:hAnsi="Arial" w:cs="Arial"/>
      <w:szCs w:val="20"/>
    </w:rPr>
  </w:style>
  <w:style w:type="paragraph" w:styleId="Elenco">
    <w:name w:val="List"/>
    <w:basedOn w:val="Textbody"/>
    <w:rPr>
      <w:rFonts w:cs="Free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Corpodeltesto3">
    <w:name w:val="Body Text 3"/>
    <w:basedOn w:val="Standard"/>
    <w:pPr>
      <w:overflowPunct w:val="0"/>
      <w:autoSpaceDE w:val="0"/>
      <w:jc w:val="both"/>
    </w:pPr>
    <w:rPr>
      <w:b/>
      <w:bCs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rpodeltesto31">
    <w:name w:val="Corpo del testo 31"/>
    <w:basedOn w:val="Standard"/>
    <w:pPr>
      <w:overflowPunct w:val="0"/>
      <w:autoSpaceDE w:val="0"/>
      <w:jc w:val="both"/>
    </w:pPr>
    <w:rPr>
      <w:b/>
      <w:bCs/>
      <w:szCs w:val="20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</w:rPr>
  </w:style>
  <w:style w:type="character" w:customStyle="1" w:styleId="WW8Num3z0">
    <w:name w:val="WW8Num3z0"/>
    <w:rPr>
      <w:rFonts w:ascii="Symbol" w:eastAsia="Symbol" w:hAnsi="Symbol" w:cs="Symbol"/>
      <w:sz w:val="20"/>
      <w:szCs w:val="20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OpenSymbol, 'Arial Unicode MS'"/>
    </w:rPr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OpenSymbol, 'Arial Unicode MS'"/>
    </w:rPr>
  </w:style>
  <w:style w:type="character" w:customStyle="1" w:styleId="WW8Num7z1">
    <w:name w:val="WW8Num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creator>Beppino Bertozzo</dc:creator>
  <cp:lastModifiedBy>MARIA CRISTINA GIACINTI</cp:lastModifiedBy>
  <cp:revision>3</cp:revision>
  <cp:lastPrinted>2009-08-27T17:28:00Z</cp:lastPrinted>
  <dcterms:created xsi:type="dcterms:W3CDTF">2018-10-30T09:50:00Z</dcterms:created>
  <dcterms:modified xsi:type="dcterms:W3CDTF">2018-10-30T10:02:00Z</dcterms:modified>
</cp:coreProperties>
</file>